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529B" w14:textId="77777777" w:rsidR="006270CF" w:rsidRPr="00C6686A" w:rsidRDefault="006270CF" w:rsidP="006270CF">
      <w:pPr>
        <w:spacing w:line="360" w:lineRule="exact"/>
        <w:rPr>
          <w:sz w:val="26"/>
          <w:szCs w:val="26"/>
        </w:rPr>
      </w:pPr>
    </w:p>
    <w:p w14:paraId="2E29CABE" w14:textId="77777777"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14:paraId="1453AAFA" w14:textId="77777777"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14:paraId="68D2E507" w14:textId="77777777"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Pr="00C6686A">
        <w:rPr>
          <w:b/>
          <w:bCs/>
          <w:sz w:val="26"/>
          <w:szCs w:val="26"/>
        </w:rPr>
        <w:t>АДМИНИСТРАЦИЯ КУГАЛЬСКОГО СЕЛЬСКОГО ПОСЕЛЕНИЯ</w:t>
      </w:r>
    </w:p>
    <w:p w14:paraId="7DA91DD3" w14:textId="77777777"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14:paraId="5BEA1126" w14:textId="77777777"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14:paraId="3DA0D56B" w14:textId="3F734B28" w:rsidR="006270CF" w:rsidRPr="00C6686A" w:rsidRDefault="00E627D7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>05.12.2022                                                                                                  № 102</w:t>
      </w:r>
    </w:p>
    <w:p w14:paraId="5E2831F3" w14:textId="77777777"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C6686A">
        <w:rPr>
          <w:sz w:val="26"/>
          <w:szCs w:val="26"/>
        </w:rPr>
        <w:t>.</w:t>
      </w:r>
      <w:r>
        <w:rPr>
          <w:sz w:val="26"/>
          <w:szCs w:val="26"/>
        </w:rPr>
        <w:t xml:space="preserve"> Куга</w:t>
      </w:r>
      <w:r w:rsidRPr="00C6686A">
        <w:rPr>
          <w:sz w:val="26"/>
          <w:szCs w:val="26"/>
        </w:rPr>
        <w:t>л</w:t>
      </w:r>
      <w:r>
        <w:rPr>
          <w:sz w:val="26"/>
          <w:szCs w:val="26"/>
        </w:rPr>
        <w:t>к</w:t>
      </w:r>
      <w:r w:rsidRPr="00C6686A">
        <w:rPr>
          <w:sz w:val="26"/>
          <w:szCs w:val="26"/>
        </w:rPr>
        <w:t>и</w:t>
      </w:r>
    </w:p>
    <w:p w14:paraId="47112D70" w14:textId="77777777"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14:paraId="79090CAF" w14:textId="77777777"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>благоустройства в Кугальском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>
        <w:rPr>
          <w:b/>
          <w:bCs/>
          <w:sz w:val="26"/>
          <w:szCs w:val="26"/>
        </w:rPr>
        <w:t>3</w:t>
      </w:r>
      <w:r w:rsidRPr="00C6686A">
        <w:rPr>
          <w:b/>
          <w:bCs/>
          <w:sz w:val="26"/>
          <w:szCs w:val="26"/>
        </w:rPr>
        <w:t xml:space="preserve"> год</w:t>
      </w:r>
    </w:p>
    <w:p w14:paraId="6B387E19" w14:textId="73E12B14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соответствии со статьей 44 Фед</w:t>
      </w:r>
      <w:bookmarkStart w:id="2" w:name="_GoBack"/>
      <w:bookmarkEnd w:id="2"/>
      <w:r w:rsidRPr="00C6686A">
        <w:rPr>
          <w:sz w:val="26"/>
          <w:szCs w:val="26"/>
        </w:rPr>
        <w:t>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</w:t>
      </w:r>
    </w:p>
    <w:p w14:paraId="714A6DE7" w14:textId="77777777"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Кугальском сельском поселении Яранского района Кировской области на 202</w:t>
      </w:r>
      <w:r>
        <w:rPr>
          <w:sz w:val="26"/>
          <w:szCs w:val="26"/>
        </w:rPr>
        <w:t>3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14:paraId="4F673B9E" w14:textId="77777777"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Должностным лицам администрации Кугальского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14:paraId="4666EA40" w14:textId="77777777"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>
        <w:rPr>
          <w:sz w:val="26"/>
          <w:szCs w:val="26"/>
        </w:rPr>
        <w:t>3</w:t>
      </w:r>
      <w:r w:rsidRPr="00C6686A">
        <w:rPr>
          <w:sz w:val="26"/>
          <w:szCs w:val="26"/>
        </w:rPr>
        <w:t xml:space="preserve"> года.</w:t>
      </w:r>
    </w:p>
    <w:p w14:paraId="75356885" w14:textId="77777777"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1CF7BD44" w14:textId="77777777"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724926C" w14:textId="77777777"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администрации                                                                       </w:t>
      </w:r>
    </w:p>
    <w:p w14:paraId="01122656" w14:textId="77777777" w:rsidR="006270CF" w:rsidRPr="00C6686A" w:rsidRDefault="006270CF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Кугальского сельского поселения</w:t>
      </w:r>
      <w:r>
        <w:rPr>
          <w:sz w:val="26"/>
          <w:szCs w:val="26"/>
        </w:rPr>
        <w:t xml:space="preserve">                                           И.Ю. Долгушева</w:t>
      </w:r>
      <w:r w:rsidRPr="00C6686A">
        <w:rPr>
          <w:sz w:val="26"/>
          <w:szCs w:val="26"/>
        </w:rPr>
        <w:br w:type="page"/>
      </w:r>
    </w:p>
    <w:p w14:paraId="30555057" w14:textId="77777777"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14:paraId="53F7DBB1" w14:textId="77777777"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14:paraId="66B40295" w14:textId="77777777"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Кугальского сельского поселения </w:t>
      </w:r>
    </w:p>
    <w:p w14:paraId="22D3F83B" w14:textId="69EBF060"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E627D7">
        <w:rPr>
          <w:rFonts w:ascii="Times New Roman" w:hAnsi="Times New Roman" w:cs="Times New Roman"/>
          <w:sz w:val="20"/>
          <w:szCs w:val="20"/>
        </w:rPr>
        <w:t>05.12.</w:t>
      </w:r>
      <w:r>
        <w:rPr>
          <w:rFonts w:ascii="Times New Roman" w:hAnsi="Times New Roman" w:cs="Times New Roman"/>
          <w:sz w:val="20"/>
          <w:szCs w:val="20"/>
        </w:rPr>
        <w:t>2022г. №</w:t>
      </w:r>
      <w:r w:rsidR="00E627D7">
        <w:rPr>
          <w:rFonts w:ascii="Times New Roman" w:hAnsi="Times New Roman" w:cs="Times New Roman"/>
          <w:sz w:val="20"/>
          <w:szCs w:val="20"/>
        </w:rPr>
        <w:t xml:space="preserve"> 102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E6AAB4" w14:textId="77777777"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14:paraId="042F88DF" w14:textId="77777777"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>благоустройства в Кугальском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14:paraId="2EA27F72" w14:textId="77777777"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>контроля в сфере благоустройства в Кугальском сельском поселении</w:t>
      </w:r>
    </w:p>
    <w:p w14:paraId="2B00073D" w14:textId="77777777"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в Кугальском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Pr="00C6686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D9148F" wp14:editId="10F69F1F">
                <wp:simplePos x="0" y="0"/>
                <wp:positionH relativeFrom="rightMargin">
                  <wp:align>left</wp:align>
                </wp:positionH>
                <wp:positionV relativeFrom="paragraph">
                  <wp:posOffset>201295</wp:posOffset>
                </wp:positionV>
                <wp:extent cx="1118870" cy="45085"/>
                <wp:effectExtent l="0" t="0" r="0" b="0"/>
                <wp:wrapSquare wrapText="left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88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4334B0" w14:textId="77777777" w:rsidR="006270CF" w:rsidRPr="00813721" w:rsidRDefault="006270CF" w:rsidP="006270CF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9148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0;margin-top:15.85pt;width:88.1pt;height:3.55pt;rotation:90;z-index:251659264;visibility:visible;mso-wrap-style:square;mso-height-percent:0;mso-wrap-distance-left:0;mso-wrap-distance-top:0;mso-wrap-distance-right:0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    <v:textbox inset="0,0,0,0">
                  <w:txbxContent>
                    <w:p w14:paraId="604334B0" w14:textId="77777777" w:rsidR="006270CF" w:rsidRPr="00813721" w:rsidRDefault="006270CF" w:rsidP="006270CF">
                      <w:pPr>
                        <w:pStyle w:val="1"/>
                        <w:shd w:val="clear" w:color="auto" w:fill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6686A">
        <w:rPr>
          <w:sz w:val="26"/>
          <w:szCs w:val="26"/>
        </w:rPr>
        <w:t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сельской Думы от 29.10.2021 № 232 «Об утверждении Положения о муниципальном контроле в сфере благоустройства в Кугальском сельском поселении Яранского района Кировской области».</w:t>
      </w:r>
    </w:p>
    <w:p w14:paraId="3B228C4C" w14:textId="77777777"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Муниципальный контроль в сфере благоустройства осуществляет администрация Кугальского сельского поселения (далее - орган муниципального контроля).</w:t>
      </w:r>
    </w:p>
    <w:p w14:paraId="376D10FB" w14:textId="77777777"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Кугальское сельское поселение, утвержденными решением Кугальской сельской Думы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Кугальского сельского поселения.</w:t>
      </w:r>
    </w:p>
    <w:p w14:paraId="6E31510F" w14:textId="77777777"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6"/>
          <w:szCs w:val="26"/>
        </w:rPr>
        <w:t>дуальных предпринимателей на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Кугальское сельское поселение. Ряд сложностей по данному виду контроля существовал в связи с </w:t>
      </w:r>
      <w:r w:rsidRPr="00C6686A">
        <w:rPr>
          <w:sz w:val="26"/>
          <w:szCs w:val="26"/>
        </w:rPr>
        <w:lastRenderedPageBreak/>
        <w:t>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>
        <w:rPr>
          <w:sz w:val="26"/>
          <w:szCs w:val="26"/>
        </w:rPr>
        <w:t>транена. На осуществление в 2022</w:t>
      </w:r>
      <w:r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C6686A">
        <w:rPr>
          <w:sz w:val="26"/>
          <w:szCs w:val="26"/>
        </w:rPr>
        <w:softHyphen/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74FFB185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14:paraId="104A2BF0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Кугальское сельское поселение, утвержденных Решением Кугальской сельской Думы Яранского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 на прилегающих территориях. Нарушения касались </w:t>
      </w:r>
      <w:proofErr w:type="spellStart"/>
      <w:r w:rsidRPr="00C6686A">
        <w:rPr>
          <w:sz w:val="26"/>
          <w:szCs w:val="26"/>
        </w:rPr>
        <w:t>неуборки</w:t>
      </w:r>
      <w:proofErr w:type="spellEnd"/>
      <w:r w:rsidRPr="00C6686A">
        <w:rPr>
          <w:sz w:val="26"/>
          <w:szCs w:val="26"/>
        </w:rPr>
        <w:t xml:space="preserve"> сухой травы, </w:t>
      </w:r>
      <w:proofErr w:type="spellStart"/>
      <w:r w:rsidRPr="00C6686A">
        <w:rPr>
          <w:sz w:val="26"/>
          <w:szCs w:val="26"/>
        </w:rPr>
        <w:t>нескашивания</w:t>
      </w:r>
      <w:proofErr w:type="spellEnd"/>
      <w:r w:rsidRPr="00C6686A">
        <w:rPr>
          <w:sz w:val="26"/>
          <w:szCs w:val="26"/>
        </w:rPr>
        <w:t xml:space="preserve"> борщевика Сосновского на принадлежащих лицам участках.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Кугальское сельское поселение, касающаяся скашивания борщевика Сосновского на принадлежащих лицам участках.</w:t>
      </w:r>
    </w:p>
    <w:p w14:paraId="088449F7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соблюдение Правил благоустройства территории муниципального образования Кугальское сельское поселение, утвержденных Решением Кугальской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14:paraId="56164FE9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соблюдение Правил благоустройства территории муниципального образования Кугальское сельское поселение, утвержденных Решением Кугальск</w:t>
      </w:r>
      <w:r>
        <w:rPr>
          <w:sz w:val="26"/>
          <w:szCs w:val="26"/>
        </w:rPr>
        <w:t>ой сельской Думы</w:t>
      </w:r>
      <w:r w:rsidRPr="00C6686A">
        <w:rPr>
          <w:sz w:val="26"/>
          <w:szCs w:val="26"/>
        </w:rPr>
        <w:t xml:space="preserve">, согласно которому все разрушения и повреждения дорожных </w:t>
      </w:r>
      <w:r w:rsidRPr="00C6686A">
        <w:rPr>
          <w:sz w:val="26"/>
          <w:szCs w:val="26"/>
        </w:rPr>
        <w:lastRenderedPageBreak/>
        <w:t>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14:paraId="31048CEA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соблюдение Правил благоустройства территории муниципального образования Кугальское сельское поселение, утвержденных Решением Кугальской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на территории общего пользования муниципального образования введен запрет на сжигание отходов производства и потребления. Направлен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14:paraId="169EBCBC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соблюдение Правил благоустройства территории муниципального образования Кугальское сельское поселение, утвержденных Решением Кугальской сельской Думы Яранского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14:paraId="62BB35F6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14:paraId="43120B03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14:paraId="263D5A78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14:paraId="1AC4620C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7AF21F87" w14:textId="77777777"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35B06E96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>
        <w:rPr>
          <w:sz w:val="26"/>
          <w:szCs w:val="26"/>
        </w:rPr>
        <w:t>ая Программа разработана на 2023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C8F43BD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14:paraId="2F267BEF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14:paraId="726D443B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DF856A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14:paraId="6E0E289E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3931EE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14:paraId="1D3D4D1B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14:paraId="53C3CFE3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1A0B1175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14:paraId="35A96EC0" w14:textId="77777777"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14:paraId="400A8CE6" w14:textId="77777777"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6FCC2287" w14:textId="77777777"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14:paraId="0555801F" w14:textId="77777777"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14:paraId="3C20C81B" w14:textId="77777777"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14:paraId="50A9790B" w14:textId="77777777"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14:paraId="10956E8B" w14:textId="77777777"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01"/>
      </w:tblGrid>
      <w:tr w:rsidR="006270CF" w:rsidRPr="00C6686A" w14:paraId="11B8442C" w14:textId="77777777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E9247" w14:textId="77777777"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E8815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14:paraId="2BB762C0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4206A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C52FA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14:paraId="342C6C8A" w14:textId="77777777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C0F7E" w14:textId="77777777"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B47DE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0C31F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A744D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14:paraId="40141356" w14:textId="77777777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B750" w14:textId="77777777"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12EFC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14:paraId="251458DC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1A533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B4EA0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14:paraId="531744ED" w14:textId="77777777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6A175" w14:textId="77777777"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CEFD5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96831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EE0EA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14:paraId="05D2F64C" w14:textId="77777777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C22B9" w14:textId="77777777"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CD8E4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979D3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342B5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14:paraId="7CDE0833" w14:textId="77777777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F69A0" w14:textId="77777777"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3D273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D6FE0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9C602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14:paraId="13399278" w14:textId="77777777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D85AF" w14:textId="77777777"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E7FD6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C6686A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EB18EB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14:paraId="0727EA08" w14:textId="77777777"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14:paraId="2149F5A6" w14:textId="77777777"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9262" w14:textId="77777777"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2B4C968" w14:textId="77777777"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14:paraId="0C9F5D05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58C0522C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51D3527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80 %.</w:t>
      </w:r>
    </w:p>
    <w:p w14:paraId="2C8D0AD6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39E57C46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14:paraId="33DD5CAD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4E392B1E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023808AD" w14:textId="77777777"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14:paraId="3AB1821B" w14:textId="77777777" w:rsidR="00896521" w:rsidRDefault="00896521"/>
    <w:sectPr w:rsidR="00896521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8A"/>
    <w:rsid w:val="00146B68"/>
    <w:rsid w:val="006270CF"/>
    <w:rsid w:val="00896521"/>
    <w:rsid w:val="00DE1C8A"/>
    <w:rsid w:val="00E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24DF"/>
  <w15:chartTrackingRefBased/>
  <w15:docId w15:val="{5F8E5901-FE84-4FE0-94E0-91B3B42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146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B6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2293</Words>
  <Characters>13075</Characters>
  <Application>Microsoft Office Word</Application>
  <DocSecurity>0</DocSecurity>
  <Lines>108</Lines>
  <Paragraphs>30</Paragraphs>
  <ScaleCrop>false</ScaleCrop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2022-12-06T12:36:00Z</cp:lastPrinted>
  <dcterms:created xsi:type="dcterms:W3CDTF">2022-10-05T11:33:00Z</dcterms:created>
  <dcterms:modified xsi:type="dcterms:W3CDTF">2022-12-06T12:36:00Z</dcterms:modified>
</cp:coreProperties>
</file>